
<file path=[Content_Types].xml><?xml version="1.0" encoding="utf-8"?>
<Types xmlns="http://schemas.openxmlformats.org/package/2006/content-types">
  <Default Extension="xml" ContentType="application/xml"/>
  <Default Extension="rels" ContentType="application/vnd.openxmlformats-package.relationships+xml"/>
  <Default Extension="png" ContentType="image/png"/>
  <Default Extension="jpeg" ContentType="image/jpeg"/>
  <Override PartName="/_rels/.rels" ContentType="application/vnd.openxmlformats-package.relationships+xml"/>
  <Override PartName="/docProps/core.xml" ContentType="application/vnd.openxmlformats-package.core-properties+xml"/>
  <Override PartName="/docProps/app.xml" ContentType="application/vnd.openxmlformats-officedocument.extended-properties+xml"/>
  <Override PartName="/word/_rels/document.xml.rels" ContentType="application/vnd.openxmlformats-package.relationships+xml"/>
  <Override PartName="/word/document.xml" ContentType="application/vnd.openxmlformats-officedocument.wordprocessingml.document.main+xml"/>
  <Override PartName="/word/media/image1.png" ContentType="image/png"/>
  <Override PartName="/word/media/image3.jpeg" ContentType="image/jpeg"/>
  <Override PartName="/word/media/image2.png" ContentType="image/png"/>
  <Override PartName="/word/styles.xml" ContentType="application/vnd.openxmlformats-officedocument.wordprocessingml.styles+xml"/>
  <Override PartName="/word/numbering.xml" ContentType="application/vnd.openxmlformats-officedocument.wordprocessingml.numbering+xml"/>
  <Override PartName="/word/fontTable.xml" ContentType="application/vnd.openxmlformats-officedocument.wordprocessingml.fontTable+xml"/>
  <Override PartName="/word/settings.xml" ContentType="application/vnd.openxmlformats-officedocument.wordprocessingml.settings+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officeDocument" Target="word/document.xml"/>
</Relationships>
</file>

<file path=word/document.xml><?xml version="1.0" encoding="utf-8"?>
<w:document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mc:Ignorable="w14 wp14">
  <w:body>
    <w:p>
      <w:pPr>
        <w:pStyle w:val="Normal"/>
        <w:bidi w:val="0"/>
        <w:spacing w:before="0" w:after="283"/>
        <w:jc w:val="left"/>
        <w:rPr/>
      </w:pPr>
      <w:r>
        <w:drawing>
          <wp:anchor behindDoc="0" distT="0" distB="0" distL="0" distR="0" simplePos="0" locked="0" layoutInCell="1" allowOverlap="1" relativeHeight="2">
            <wp:simplePos x="0" y="0"/>
            <wp:positionH relativeFrom="page">
              <wp:posOffset>3001010</wp:posOffset>
            </wp:positionH>
            <wp:positionV relativeFrom="page">
              <wp:posOffset>317500</wp:posOffset>
            </wp:positionV>
            <wp:extent cx="1629410" cy="763270"/>
            <wp:effectExtent l="0" t="0" r="0" b="0"/>
            <wp:wrapSquare wrapText="largest"/>
            <wp:docPr id="1" name="Image7" desc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Image7" descr=""/>
                    <pic:cNvPicPr>
                      <a:picLocks noChangeAspect="1" noChangeArrowheads="1"/>
                    </pic:cNvPicPr>
                  </pic:nvPicPr>
                  <pic:blipFill>
                    <a:blip r:embed="rId2"/>
                    <a:stretch>
                      <a:fillRect/>
                    </a:stretch>
                  </pic:blipFill>
                  <pic:spPr bwMode="auto">
                    <a:xfrm>
                      <a:off x="0" y="0"/>
                      <a:ext cx="1629410" cy="763270"/>
                    </a:xfrm>
                    <a:prstGeom prst="rect">
                      <a:avLst/>
                    </a:prstGeom>
                  </pic:spPr>
                </pic:pic>
              </a:graphicData>
            </a:graphic>
          </wp:anchor>
        </w:drawing>
      </w:r>
      <w:r>
        <w:rPr/>
        <w:t>C</w:t>
      </w:r>
      <w:r>
        <w:rPr/>
        <w:t xml:space="preserve">hronique </w:t>
      </w:r>
    </w:p>
    <w:p>
      <w:pPr>
        <w:pStyle w:val="Titre1"/>
        <w:bidi w:val="0"/>
        <w:jc w:val="center"/>
        <w:rPr>
          <w:sz w:val="36"/>
          <w:szCs w:val="36"/>
        </w:rPr>
      </w:pPr>
      <w:r>
        <w:rPr/>
      </w:r>
    </w:p>
    <w:p>
      <w:pPr>
        <w:pStyle w:val="Titre1"/>
        <w:bidi w:val="0"/>
        <w:jc w:val="center"/>
        <w:rPr>
          <w:sz w:val="36"/>
          <w:szCs w:val="36"/>
        </w:rPr>
      </w:pPr>
      <w:r>
        <w:rPr>
          <w:sz w:val="36"/>
          <w:szCs w:val="36"/>
        </w:rPr>
        <w:t xml:space="preserve">Les Big Pharma ont-elles intérêt à gagner la course contre les variants ? </w:t>
      </w:r>
    </w:p>
    <w:p>
      <w:pPr>
        <w:pStyle w:val="Corpsdetexte"/>
        <w:bidi w:val="0"/>
        <w:spacing w:before="0" w:after="0"/>
        <w:jc w:val="left"/>
        <w:rPr/>
      </w:pPr>
      <w:r>
        <w:rPr/>
        <w:drawing>
          <wp:inline distT="0" distB="0" distL="0" distR="0">
            <wp:extent cx="1943100" cy="1943100"/>
            <wp:effectExtent l="0" t="0" r="0" b="0"/>
            <wp:docPr id="2" name="Image1" desc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Image1" descr=""/>
                    <pic:cNvPicPr>
                      <a:picLocks noChangeAspect="1" noChangeArrowheads="1"/>
                    </pic:cNvPicPr>
                  </pic:nvPicPr>
                  <pic:blipFill>
                    <a:blip r:embed="rId3"/>
                    <a:stretch>
                      <a:fillRect/>
                    </a:stretch>
                  </pic:blipFill>
                  <pic:spPr bwMode="auto">
                    <a:xfrm>
                      <a:off x="0" y="0"/>
                      <a:ext cx="1943100" cy="1943100"/>
                    </a:xfrm>
                    <a:prstGeom prst="rect">
                      <a:avLst/>
                    </a:prstGeom>
                  </pic:spPr>
                </pic:pic>
              </a:graphicData>
            </a:graphic>
          </wp:inline>
        </w:drawing>
      </w:r>
      <w:r>
        <w:rPr/>
        <w:t xml:space="preserve"> </w:t>
      </w:r>
    </w:p>
    <w:p>
      <w:pPr>
        <w:pStyle w:val="Corpsdetexte"/>
        <w:bidi w:val="0"/>
        <w:spacing w:before="0" w:after="0"/>
        <w:jc w:val="left"/>
        <w:rPr/>
      </w:pPr>
      <w:hyperlink r:id="rId4">
        <w:r>
          <w:rPr>
            <w:rStyle w:val="LienInternet"/>
          </w:rPr>
          <w:t>Cécile Duflot</w:t>
        </w:r>
      </w:hyperlink>
      <w:r>
        <w:rPr/>
        <w:t xml:space="preserve"> directrice générale d’Oxfam France, ancienne ministre 4 août 2021</w:t>
      </w:r>
    </w:p>
    <w:p>
      <w:pPr>
        <w:pStyle w:val="Corpsdetexte"/>
        <w:bidi w:val="0"/>
        <w:spacing w:lineRule="auto" w:line="276" w:before="0" w:after="140"/>
        <w:jc w:val="left"/>
        <w:rPr/>
      </w:pPr>
      <w:r>
        <w:rPr/>
      </w:r>
    </w:p>
    <w:p>
      <w:pPr>
        <w:pStyle w:val="Corpsdetexte"/>
        <w:bidi w:val="0"/>
        <w:spacing w:lineRule="auto" w:line="276" w:before="0" w:after="140"/>
        <w:jc w:val="left"/>
        <w:rPr/>
      </w:pPr>
      <w:r>
        <w:rPr/>
        <w:t>Les conclusions du G7, qui s’est tendu du 11 au 13 juin en Cornouailles, ont jeté une lumière crue sur la réalité des rapports de force en matière de santé publique mondiale. Si les promesses des sept plus grandes puissances mondiales en matière de vaccination dans les pays pauvres étaient remplies de bonnes intentions, elles ne suffiront pas à faire plier les firmes pharmaceutiques. Cette bataille politique éclaire le nouveau visage de la mondialisation, on peut en tirer au moins trois leçons.</w:t>
      </w:r>
    </w:p>
    <w:p>
      <w:pPr>
        <w:pStyle w:val="Corpsdetexte"/>
        <w:bidi w:val="0"/>
        <w:spacing w:lineRule="auto" w:line="276" w:before="0" w:after="140"/>
        <w:jc w:val="left"/>
        <w:rPr/>
      </w:pPr>
      <w:r>
        <w:rPr/>
        <w:t>Première leçon : il n’y a que des solutions mondiales à un problème global. Tous les experts s’accordent sur l’indispensable nécessité d’une campagne de vaccination mondiale. La planète est désormais engagée dans une course contre la montre avec les variants. Plus vite nous vaccinerons l’humanité entière, moins chacun d’entre nous sera exposé aux risques d’une nouvelle vague de la pandémie potentiellement plus contagieuse, voire plus mortelle encore.</w:t>
      </w:r>
    </w:p>
    <w:p>
      <w:pPr>
        <w:pStyle w:val="Corpsdetexte"/>
        <w:bidi w:val="0"/>
        <w:spacing w:lineRule="auto" w:line="276" w:before="0" w:after="140"/>
        <w:jc w:val="left"/>
        <w:rPr/>
      </w:pPr>
      <w:r>
        <w:rPr/>
        <w:t>Vacciner seulement en Occident, c’est s’offrir au mieux quelques mois de répit et s’exposer à moyen terme à un risque plus grand encore. Il n’y a donc aucune générosité dans les promesses de dons de vaccins, simplement un indispensable réalisme. Pourtant, comme face au dérèglement climatique, nous sommes démunis. Il n’existe aucune instance de régulation de la mondialisation à la hauteur. L’Organisation mondiale de la santé (OMS) est au point mort, embourbée dans son tracas diplomatique. Et même si Joe Biden ressuscite le multilatéralisme, les outils pour réguler la mondialisation font figure de nains face à la puissance des laboratoires.</w:t>
      </w:r>
    </w:p>
    <w:p>
      <w:pPr>
        <w:pStyle w:val="Corpsdetexte"/>
        <w:bidi w:val="0"/>
        <w:spacing w:before="0" w:after="0"/>
        <w:jc w:val="left"/>
        <w:rPr/>
      </w:pPr>
      <w:r>
        <w:rPr/>
        <w:t xml:space="preserve">A lire L'Economie Politique n°91 - 07/2021 </w:t>
      </w:r>
    </w:p>
    <w:p>
      <w:pPr>
        <w:pStyle w:val="Corpsdetexte"/>
        <w:bidi w:val="0"/>
        <w:jc w:val="left"/>
        <w:rPr/>
      </w:pPr>
      <w:r>
        <w:rPr/>
        <w:drawing>
          <wp:inline distT="0" distB="0" distL="0" distR="0">
            <wp:extent cx="3429000" cy="5257800"/>
            <wp:effectExtent l="0" t="0" r="0" b="0"/>
            <wp:docPr id="3" name="Image2" descr="">
              <a:hlinkClick xmlns:a="http://schemas.openxmlformats.org/drawingml/2006/main" r:id="rId6"/>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Image2" descr="">
                      <a:hlinkClick r:id="rId6"/>
                    </pic:cNvPr>
                    <pic:cNvPicPr>
                      <a:picLocks noChangeAspect="1" noChangeArrowheads="1"/>
                    </pic:cNvPicPr>
                  </pic:nvPicPr>
                  <pic:blipFill>
                    <a:blip r:embed="rId5"/>
                    <a:stretch>
                      <a:fillRect/>
                    </a:stretch>
                  </pic:blipFill>
                  <pic:spPr bwMode="auto">
                    <a:xfrm>
                      <a:off x="0" y="0"/>
                      <a:ext cx="3429000" cy="5257800"/>
                    </a:xfrm>
                    <a:prstGeom prst="rect">
                      <a:avLst/>
                    </a:prstGeom>
                    <a:ln w="9525">
                      <a:solidFill>
                        <a:srgbClr val="000080"/>
                      </a:solidFill>
                    </a:ln>
                  </pic:spPr>
                </pic:pic>
              </a:graphicData>
            </a:graphic>
          </wp:inline>
        </w:drawing>
      </w:r>
    </w:p>
    <w:p>
      <w:pPr>
        <w:pStyle w:val="Titre3"/>
        <w:bidi w:val="0"/>
        <w:jc w:val="left"/>
        <w:rPr/>
      </w:pPr>
      <w:hyperlink r:id="rId7">
        <w:r>
          <w:rPr>
            <w:rStyle w:val="LienInternet"/>
          </w:rPr>
          <w:t>Tourisme : repartir comme avant ?</w:t>
        </w:r>
      </w:hyperlink>
      <w:r>
        <w:rPr/>
        <w:t xml:space="preserve"> </w:t>
      </w:r>
    </w:p>
    <w:p>
      <w:pPr>
        <w:pStyle w:val="Corpsdetexte"/>
        <w:numPr>
          <w:ilvl w:val="0"/>
          <w:numId w:val="2"/>
        </w:numPr>
        <w:tabs>
          <w:tab w:val="clear" w:pos="822"/>
          <w:tab w:val="left" w:pos="707" w:leader="none"/>
        </w:tabs>
        <w:bidi w:val="0"/>
        <w:spacing w:before="0" w:after="0"/>
        <w:ind w:left="707" w:hanging="283"/>
        <w:jc w:val="left"/>
        <w:rPr/>
      </w:pPr>
      <w:hyperlink r:id="rId8" w:tgtFrame="_blank">
        <w:r>
          <w:rPr>
            <w:rStyle w:val="LienInternet"/>
          </w:rPr>
          <w:t>Facebook</w:t>
        </w:r>
      </w:hyperlink>
      <w:r>
        <w:rPr/>
        <w:t xml:space="preserve"> </w:t>
      </w:r>
    </w:p>
    <w:p>
      <w:pPr>
        <w:pStyle w:val="Corpsdetexte"/>
        <w:numPr>
          <w:ilvl w:val="0"/>
          <w:numId w:val="2"/>
        </w:numPr>
        <w:tabs>
          <w:tab w:val="clear" w:pos="822"/>
          <w:tab w:val="left" w:pos="707" w:leader="none"/>
        </w:tabs>
        <w:bidi w:val="0"/>
        <w:spacing w:before="0" w:after="0"/>
        <w:ind w:left="707" w:hanging="283"/>
        <w:jc w:val="left"/>
        <w:rPr/>
      </w:pPr>
      <w:hyperlink r:id="rId9" w:tgtFrame="_blank">
        <w:r>
          <w:rPr>
            <w:rStyle w:val="LienInternet"/>
          </w:rPr>
          <w:t>Twitter</w:t>
        </w:r>
      </w:hyperlink>
      <w:r>
        <w:rPr/>
        <w:t xml:space="preserve"> </w:t>
      </w:r>
    </w:p>
    <w:p>
      <w:pPr>
        <w:pStyle w:val="Corpsdetexte"/>
        <w:numPr>
          <w:ilvl w:val="0"/>
          <w:numId w:val="2"/>
        </w:numPr>
        <w:tabs>
          <w:tab w:val="clear" w:pos="822"/>
          <w:tab w:val="left" w:pos="707" w:leader="none"/>
        </w:tabs>
        <w:bidi w:val="0"/>
        <w:spacing w:before="0" w:after="0"/>
        <w:ind w:left="707" w:hanging="283"/>
        <w:jc w:val="left"/>
        <w:rPr/>
      </w:pPr>
      <w:hyperlink r:id="rId10">
        <w:r>
          <w:rPr>
            <w:rStyle w:val="LienInternet"/>
          </w:rPr>
          <w:t>Partager sur ...</w:t>
        </w:r>
      </w:hyperlink>
      <w:r>
        <w:rPr/>
        <w:t xml:space="preserve"> </w:t>
      </w:r>
    </w:p>
    <w:p>
      <w:pPr>
        <w:pStyle w:val="Corpsdetexte"/>
        <w:numPr>
          <w:ilvl w:val="1"/>
          <w:numId w:val="2"/>
        </w:numPr>
        <w:tabs>
          <w:tab w:val="clear" w:pos="822"/>
          <w:tab w:val="left" w:pos="1414" w:leader="none"/>
        </w:tabs>
        <w:bidi w:val="0"/>
        <w:spacing w:before="0" w:after="0"/>
        <w:ind w:left="1414" w:hanging="283"/>
        <w:jc w:val="left"/>
        <w:rPr/>
      </w:pPr>
      <w:hyperlink r:id="rId11">
        <w:r>
          <w:rPr>
            <w:rStyle w:val="LienInternet"/>
          </w:rPr>
          <w:t>LinkedIn</w:t>
        </w:r>
      </w:hyperlink>
      <w:r>
        <w:rPr/>
        <w:t xml:space="preserve"> </w:t>
      </w:r>
    </w:p>
    <w:p>
      <w:pPr>
        <w:pStyle w:val="Corpsdetexte"/>
        <w:numPr>
          <w:ilvl w:val="1"/>
          <w:numId w:val="2"/>
        </w:numPr>
        <w:tabs>
          <w:tab w:val="clear" w:pos="822"/>
          <w:tab w:val="left" w:pos="1414" w:leader="none"/>
        </w:tabs>
        <w:bidi w:val="0"/>
        <w:spacing w:before="0" w:after="0"/>
        <w:ind w:left="1414" w:hanging="283"/>
        <w:jc w:val="left"/>
        <w:rPr/>
      </w:pPr>
      <w:hyperlink r:id="rId12">
        <w:r>
          <w:rPr>
            <w:rStyle w:val="LienInternet"/>
          </w:rPr>
          <w:t>Pinterest</w:t>
        </w:r>
      </w:hyperlink>
      <w:r>
        <w:rPr/>
        <w:t xml:space="preserve"> </w:t>
      </w:r>
    </w:p>
    <w:p>
      <w:pPr>
        <w:pStyle w:val="Corpsdetexte"/>
        <w:numPr>
          <w:ilvl w:val="1"/>
          <w:numId w:val="2"/>
        </w:numPr>
        <w:tabs>
          <w:tab w:val="clear" w:pos="822"/>
          <w:tab w:val="left" w:pos="1414" w:leader="none"/>
        </w:tabs>
        <w:bidi w:val="0"/>
        <w:ind w:left="1414" w:hanging="283"/>
        <w:jc w:val="left"/>
        <w:rPr/>
      </w:pPr>
      <w:hyperlink r:id="rId13">
        <w:r>
          <w:rPr>
            <w:rStyle w:val="LienInternet"/>
          </w:rPr>
          <w:t>Mail</w:t>
        </w:r>
      </w:hyperlink>
      <w:r>
        <w:rPr/>
        <w:t xml:space="preserve"> </w:t>
      </w:r>
    </w:p>
    <w:p>
      <w:pPr>
        <w:pStyle w:val="Titre2"/>
        <w:bidi w:val="0"/>
        <w:jc w:val="left"/>
        <w:rPr/>
      </w:pPr>
      <w:r>
        <w:rPr/>
        <w:t>Les intérêts de Big Pharma</w:t>
      </w:r>
    </w:p>
    <w:p>
      <w:pPr>
        <w:pStyle w:val="Corpsdetexte"/>
        <w:bidi w:val="0"/>
        <w:spacing w:lineRule="auto" w:line="276" w:before="0" w:after="140"/>
        <w:jc w:val="left"/>
        <w:rPr/>
      </w:pPr>
      <w:r>
        <w:rPr/>
        <w:t xml:space="preserve">Deuxième leçon : l’économie de la rente est un frein à l’innovation. Si beaucoup ont glosé sur l’échec français de Sanofi et le succès de Pfizer, ils sont le miroir inversé de </w:t>
      </w:r>
      <w:hyperlink r:id="rId14" w:tgtFrame="_blank">
        <w:r>
          <w:rPr>
            <w:rStyle w:val="LienInternet"/>
          </w:rPr>
          <w:t>stratégies d’entreprises basées sur la prise de risques versus le profit assuré</w:t>
        </w:r>
      </w:hyperlink>
      <w:r>
        <w:rPr/>
        <w:t>. Sanofi disposant de nombreux brevets lui assurant une confortable rentabilité financière, la compagnie française n’a pas souhaité investir pour développer de nouveaux vaccins et se lancer dans l’expérimentation de la technique de l’ARN-messager. A l’inverse, d’autres entreprises plus audacieuses ont pris des risques plus importants.</w:t>
      </w:r>
    </w:p>
    <w:p>
      <w:pPr>
        <w:pStyle w:val="Corpsdetexte"/>
        <w:bidi w:val="0"/>
        <w:spacing w:lineRule="auto" w:line="276" w:before="0" w:after="140"/>
        <w:jc w:val="left"/>
        <w:rPr/>
      </w:pPr>
      <w:r>
        <w:rPr/>
        <w:t>Il n’y a pas de lien automatique entre la rentabilité due à un brevet et l’investissement en recherche et développement et en innovation. Bien au contraire, les profits certains et la rente assurée peuvent décourager des entreprises d’innover. En somme, si nous nous contentons de faire confiance au marché, nous sommes assurés d’échouer.</w:t>
      </w:r>
    </w:p>
    <w:p>
      <w:pPr>
        <w:pStyle w:val="Corpsdetexte"/>
        <w:bidi w:val="0"/>
        <w:spacing w:lineRule="auto" w:line="276" w:before="0" w:after="140"/>
        <w:jc w:val="left"/>
        <w:rPr/>
      </w:pPr>
      <w:r>
        <w:rPr/>
        <w:t xml:space="preserve">Troisième leçon : les intérêts de la finance ne sont pas ceux de la santé. Car seuls les laboratoires pharmaceutiques détenteurs des vaccins – les fameux Big Pharma – disposent des clés pour organiser cette campagne de vaccination. Il existe des capacités de production sous-exploitées, le </w:t>
      </w:r>
      <w:r>
        <w:rPr>
          <w:rStyle w:val="Accentuation"/>
        </w:rPr>
        <w:t>think tank</w:t>
      </w:r>
      <w:r>
        <w:rPr/>
        <w:t xml:space="preserve"> scientifique américain Knowledge Ecology International a identifié plus de 150 sites de production qui pourraient être mobilisés, mais aujourd’hui aucun accord de licence globale n’a été signé. Car ils n’y ont objectivement aucun intérêt.</w:t>
      </w:r>
    </w:p>
    <w:p>
      <w:pPr>
        <w:pStyle w:val="Citations"/>
        <w:bidi w:val="0"/>
        <w:spacing w:before="0" w:after="283"/>
        <w:ind w:left="567" w:right="567" w:hanging="0"/>
        <w:jc w:val="left"/>
        <w:rPr/>
      </w:pPr>
      <w:r>
        <w:rPr/>
        <w:t>La logique de marché est incompatible avec une véritable politique de santé</w:t>
      </w:r>
    </w:p>
    <w:p>
      <w:pPr>
        <w:pStyle w:val="Citations"/>
        <w:bidi w:val="0"/>
        <w:spacing w:before="0" w:after="283"/>
        <w:ind w:left="567" w:right="567" w:hanging="0"/>
        <w:jc w:val="left"/>
        <w:rPr/>
      </w:pPr>
      <w:hyperlink r:id="rId15" w:tgtFrame="_blank">
        <w:r>
          <w:rPr>
            <w:rStyle w:val="LienInternet"/>
          </w:rPr>
          <w:t xml:space="preserve">Twitter </w:t>
        </w:r>
      </w:hyperlink>
    </w:p>
    <w:p>
      <w:pPr>
        <w:pStyle w:val="Corpsdetexte"/>
        <w:bidi w:val="0"/>
        <w:spacing w:lineRule="auto" w:line="276" w:before="0" w:after="140"/>
        <w:jc w:val="left"/>
        <w:rPr/>
      </w:pPr>
      <w:r>
        <w:rPr/>
        <w:t>La logique financière est de vendre chaque dose de vaccin à son meilleur prix. Cela s’oppose évidemment à une éventuelle réquisition ou à une négociation tarifaire favorable aux pays du Sud, d’ores et déjà écrasés par les intérêts de la dette.</w:t>
      </w:r>
    </w:p>
    <w:p>
      <w:pPr>
        <w:pStyle w:val="Corpsdetexte"/>
        <w:bidi w:val="0"/>
        <w:spacing w:lineRule="auto" w:line="276" w:before="0" w:after="140"/>
        <w:jc w:val="left"/>
        <w:rPr/>
      </w:pPr>
      <w:r>
        <w:rPr/>
        <w:t>Aussi, cyniquement, les compagnies pharmaceutiques n’ont pas intérêt à gagner la course contre les variants. Puisque les variants du virus sont des motivations de vaccinations complémentaires, voire de produire de nouvelles versions du vaccin. Là où la vaccination pourrait être l’arme fatale pour éradiquer la pandémie, ces entreprises ont intérêt à s’adapter à son évolution et à sa seule distribution aux clients solvables.</w:t>
      </w:r>
    </w:p>
    <w:p>
      <w:pPr>
        <w:pStyle w:val="Corpsdetexte"/>
        <w:bidi w:val="0"/>
        <w:spacing w:lineRule="auto" w:line="276" w:before="0" w:after="140"/>
        <w:jc w:val="left"/>
        <w:rPr/>
      </w:pPr>
      <w:r>
        <w:rPr/>
        <w:t>Evidemment, il ne s’agit pas ici de pointer du doigt le cynisme de certains responsables, mais de constater sereinement que la logique de marché est incompatible avec une véritable politique de santé.</w:t>
      </w:r>
    </w:p>
    <w:p>
      <w:pPr>
        <w:pStyle w:val="Titre2"/>
        <w:bidi w:val="0"/>
        <w:jc w:val="left"/>
        <w:rPr/>
      </w:pPr>
      <w:r>
        <w:rPr/>
        <w:t>Une décision politique</w:t>
      </w:r>
    </w:p>
    <w:p>
      <w:pPr>
        <w:pStyle w:val="Corpsdetexte"/>
        <w:bidi w:val="0"/>
        <w:spacing w:lineRule="auto" w:line="276" w:before="0" w:after="140"/>
        <w:jc w:val="left"/>
        <w:rPr/>
      </w:pPr>
      <w:r>
        <w:rPr/>
        <w:t>Ces trois leçons économiques débouchent inévitablement sur un dilemme moral. Il existe un débat politique sur les vaccins, mais contrairement à ce que véhicule une partie de l’opinion française il ne se situe pas à l’échelle individuelle entre partisans ou opposants à la vaccination. Face à un virus, la seule thérapie efficace est la vaccination collective. Cela exige donc une décision politique, comme tous les arbitrages de santé publique.</w:t>
      </w:r>
    </w:p>
    <w:p>
      <w:pPr>
        <w:pStyle w:val="Corpsdetexte"/>
        <w:bidi w:val="0"/>
        <w:spacing w:lineRule="auto" w:line="276" w:before="0" w:after="140"/>
        <w:jc w:val="left"/>
        <w:rPr/>
      </w:pPr>
      <w:r>
        <w:rPr/>
        <w:t>Mais face à une pandémie, une politique de santé nationale est vouée à l’échec. Seul le courage politique d’une solution universelle et inconditionnelle viendra à bout d’une telle épidémie. Mais pour y parvenir, il nous faudra bien plus qu’une gouvernance multilatérale bancale et des sommets internationaux bourrés de fausses promesses face à un marché déconnecté des besoins de la santé.</w:t>
      </w:r>
    </w:p>
    <w:p>
      <w:pPr>
        <w:pStyle w:val="Corpsdetexte"/>
        <w:bidi w:val="0"/>
        <w:spacing w:lineRule="auto" w:line="276" w:before="0" w:after="140"/>
        <w:jc w:val="left"/>
        <w:rPr/>
      </w:pPr>
      <w:r>
        <w:rPr/>
        <w:t>Alors qu’elle était en proie à une guerre qui allait devenir mondiale, la charte de l’Atlantique, en traçant un avenir où la paix était la clé, a pu faire naître les prémices de ce qui deviendra, avec ses travers, une institution : l’Organisation mondiale du commerce (OMC) où curieusement se joue l’accord sur la levée des brevets. C’est aujourd’hui d’une institution de régulation encore plus indispensable dont nous avons besoin car c’est le seul moyen de mettre un terme à la pandémie, de se prémunir de futurs virus, et de retrouver notre mode de vie.</w:t>
      </w:r>
    </w:p>
    <w:p>
      <w:pPr>
        <w:pStyle w:val="Corpsdetexte"/>
        <w:bidi w:val="0"/>
        <w:spacing w:lineRule="auto" w:line="276" w:before="0" w:after="140"/>
        <w:jc w:val="left"/>
        <w:rPr/>
      </w:pPr>
      <w:r>
        <w:rPr/>
        <w:t>Cette conscience que nous devons agir en tant que terriens soumis à une menace globale pourrait aussi être le levier qui nous permettrait de faire face au dérèglement climatique. La solution est politique.</w:t>
      </w:r>
    </w:p>
    <w:p>
      <w:pPr>
        <w:pStyle w:val="Normal"/>
        <w:bidi w:val="0"/>
        <w:jc w:val="left"/>
        <w:rPr/>
      </w:pPr>
      <w:r>
        <w:rPr/>
      </w:r>
    </w:p>
    <w:sectPr>
      <w:type w:val="nextPage"/>
      <w:pgSz w:w="11906" w:h="16838"/>
      <w:pgMar w:left="1134" w:right="1134" w:header="0" w:top="1134" w:footer="0" w:bottom="1134" w:gutter="0"/>
      <w:pgNumType w:fmt="decimal"/>
      <w:formProt w:val="false"/>
      <w:textDirection w:val="lrTb"/>
      <w:docGrid w:type="default" w:linePitch="100" w:charSpace="0"/>
    </w:sectPr>
  </w:body>
</w:document>
</file>

<file path=word/fontTable.xml><?xml version="1.0" encoding="utf-8"?>
<w:fonts xmlns:w="http://schemas.openxmlformats.org/wordprocessingml/2006/main" xmlns:r="http://schemas.openxmlformats.org/officeDocument/2006/relationships">
  <w:font w:name="Times New Roman">
    <w:charset w:val="00"/>
    <w:family w:val="roman"/>
    <w:pitch w:val="variable"/>
  </w:font>
  <w:font w:name="Symbol">
    <w:charset w:val="02"/>
    <w:family w:val="roman"/>
    <w:pitch w:val="variable"/>
  </w:font>
  <w:font w:name="Arial">
    <w:charset w:val="00"/>
    <w:family w:val="swiss"/>
    <w:pitch w:val="variable"/>
  </w:font>
  <w:font w:name="Liberation Serif">
    <w:altName w:val="Times New Roman"/>
    <w:charset w:val="01"/>
    <w:family w:val="roman"/>
    <w:pitch w:val="variable"/>
  </w:font>
  <w:font w:name="Liberation Serif">
    <w:altName w:val="Times New Roman"/>
    <w:charset w:val="01"/>
    <w:family w:val="swiss"/>
    <w:pitch w:val="variable"/>
  </w:font>
  <w:font w:name="OpenSymbol">
    <w:altName w:val="Arial Unicode MS"/>
    <w:charset w:val="01"/>
    <w:family w:val="roman"/>
    <w:pitch w:val="variable"/>
  </w:font>
  <w:font w:name="Liberation Sans">
    <w:altName w:val="Arial"/>
    <w:charset w:val="01"/>
    <w:family w:val="roman"/>
    <w:pitch w:val="variable"/>
  </w:font>
  <w:font w:name="Symbol">
    <w:charset w:val="02"/>
    <w:family w:val="auto"/>
    <w:pitch w:val="default"/>
  </w:font>
</w:fonts>
</file>

<file path=word/numbering.xml><?xml version="1.0" encoding="utf-8"?>
<w:numbering xmlns:w="http://schemas.openxmlformats.org/wordprocessingml/2006/main" xmlns:o="urn:schemas-microsoft-com:office:office" xmlns:r="http://schemas.openxmlformats.org/officeDocument/2006/relationships" xmlns:v="urn:schemas-microsoft-com:vml">
  <w:abstractNum w:abstractNumId="1">
    <w:lvl w:ilvl="0">
      <w:start w:val="1"/>
      <w:pStyle w:val="Titre1"/>
      <w:numFmt w:val="none"/>
      <w:suff w:val="nothing"/>
      <w:lvlText w:val=""/>
      <w:lvlJc w:val="left"/>
      <w:pPr>
        <w:tabs>
          <w:tab w:val="num" w:pos="0"/>
        </w:tabs>
        <w:ind w:left="0" w:hanging="0"/>
      </w:pPr>
    </w:lvl>
    <w:lvl w:ilvl="1">
      <w:start w:val="1"/>
      <w:pStyle w:val="Titre2"/>
      <w:numFmt w:val="none"/>
      <w:suff w:val="nothing"/>
      <w:lvlText w:val=""/>
      <w:lvlJc w:val="left"/>
      <w:pPr>
        <w:tabs>
          <w:tab w:val="num" w:pos="0"/>
        </w:tabs>
        <w:ind w:left="0" w:hanging="0"/>
      </w:pPr>
    </w:lvl>
    <w:lvl w:ilvl="2">
      <w:start w:val="1"/>
      <w:pStyle w:val="Titre3"/>
      <w:numFmt w:val="none"/>
      <w:suff w:val="nothing"/>
      <w:lvlText w:val=""/>
      <w:lvlJc w:val="left"/>
      <w:pPr>
        <w:tabs>
          <w:tab w:val="num" w:pos="0"/>
        </w:tabs>
        <w:ind w:left="0" w:hanging="0"/>
      </w:pPr>
    </w:lvl>
    <w:lvl w:ilvl="3">
      <w:start w:val="1"/>
      <w:numFmt w:val="none"/>
      <w:suff w:val="nothing"/>
      <w:lvlText w:val=""/>
      <w:lvlJc w:val="left"/>
      <w:pPr>
        <w:tabs>
          <w:tab w:val="num" w:pos="0"/>
        </w:tabs>
        <w:ind w:left="0" w:hanging="0"/>
      </w:pPr>
    </w:lvl>
    <w:lvl w:ilvl="4">
      <w:start w:val="1"/>
      <w:numFmt w:val="none"/>
      <w:suff w:val="nothing"/>
      <w:lvlText w:val=""/>
      <w:lvlJc w:val="left"/>
      <w:pPr>
        <w:tabs>
          <w:tab w:val="num" w:pos="0"/>
        </w:tabs>
        <w:ind w:left="0" w:hanging="0"/>
      </w:pPr>
    </w:lvl>
    <w:lvl w:ilvl="5">
      <w:start w:val="1"/>
      <w:numFmt w:val="none"/>
      <w:suff w:val="nothing"/>
      <w:lvlText w:val=""/>
      <w:lvlJc w:val="left"/>
      <w:pPr>
        <w:tabs>
          <w:tab w:val="num" w:pos="0"/>
        </w:tabs>
        <w:ind w:left="0" w:hanging="0"/>
      </w:pPr>
    </w:lvl>
    <w:lvl w:ilvl="6">
      <w:start w:val="1"/>
      <w:numFmt w:val="none"/>
      <w:suff w:val="nothing"/>
      <w:lvlText w:val=""/>
      <w:lvlJc w:val="left"/>
      <w:pPr>
        <w:tabs>
          <w:tab w:val="num" w:pos="0"/>
        </w:tabs>
        <w:ind w:left="0" w:hanging="0"/>
      </w:pPr>
    </w:lvl>
    <w:lvl w:ilvl="7">
      <w:start w:val="1"/>
      <w:numFmt w:val="none"/>
      <w:suff w:val="nothing"/>
      <w:lvlText w:val=""/>
      <w:lvlJc w:val="left"/>
      <w:pPr>
        <w:tabs>
          <w:tab w:val="num" w:pos="0"/>
        </w:tabs>
        <w:ind w:left="0" w:hanging="0"/>
      </w:pPr>
    </w:lvl>
    <w:lvl w:ilvl="8">
      <w:start w:val="1"/>
      <w:numFmt w:val="none"/>
      <w:suff w:val="nothing"/>
      <w:lvlText w:val=""/>
      <w:lvlJc w:val="left"/>
      <w:pPr>
        <w:tabs>
          <w:tab w:val="num" w:pos="0"/>
        </w:tabs>
        <w:ind w:left="0" w:hanging="0"/>
      </w:pPr>
    </w:lvl>
  </w:abstractNum>
  <w:abstractNum w:abstractNumId="2">
    <w:lvl w:ilvl="0">
      <w:start w:val="1"/>
      <w:numFmt w:val="bullet"/>
      <w:lvlText w:val=""/>
      <w:lvlJc w:val="left"/>
      <w:pPr>
        <w:tabs>
          <w:tab w:val="num" w:pos="707"/>
        </w:tabs>
        <w:ind w:left="707" w:hanging="283"/>
      </w:pPr>
      <w:rPr>
        <w:rFonts w:ascii="Symbol" w:hAnsi="Symbol" w:cs="Symbol" w:hint="default"/>
      </w:rPr>
    </w:lvl>
    <w:lvl w:ilvl="1">
      <w:start w:val="1"/>
      <w:numFmt w:val="bullet"/>
      <w:lvlText w:val=""/>
      <w:lvlJc w:val="left"/>
      <w:pPr>
        <w:tabs>
          <w:tab w:val="num" w:pos="1414"/>
        </w:tabs>
        <w:ind w:left="1414" w:hanging="283"/>
      </w:pPr>
      <w:rPr>
        <w:rFonts w:ascii="Symbol" w:hAnsi="Symbol" w:cs="Symbol" w:hint="default"/>
      </w:rPr>
    </w:lvl>
    <w:lvl w:ilvl="2">
      <w:start w:val="1"/>
      <w:numFmt w:val="bullet"/>
      <w:lvlText w:val=""/>
      <w:lvlJc w:val="left"/>
      <w:pPr>
        <w:tabs>
          <w:tab w:val="num" w:pos="2121"/>
        </w:tabs>
        <w:ind w:left="2121" w:hanging="283"/>
      </w:pPr>
      <w:rPr>
        <w:rFonts w:ascii="Symbol" w:hAnsi="Symbol" w:cs="Symbol" w:hint="default"/>
      </w:rPr>
    </w:lvl>
    <w:lvl w:ilvl="3">
      <w:start w:val="1"/>
      <w:numFmt w:val="bullet"/>
      <w:lvlText w:val=""/>
      <w:lvlJc w:val="left"/>
      <w:pPr>
        <w:tabs>
          <w:tab w:val="num" w:pos="2828"/>
        </w:tabs>
        <w:ind w:left="2828" w:hanging="283"/>
      </w:pPr>
      <w:rPr>
        <w:rFonts w:ascii="Symbol" w:hAnsi="Symbol" w:cs="Symbol" w:hint="default"/>
      </w:rPr>
    </w:lvl>
    <w:lvl w:ilvl="4">
      <w:start w:val="1"/>
      <w:numFmt w:val="bullet"/>
      <w:lvlText w:val=""/>
      <w:lvlJc w:val="left"/>
      <w:pPr>
        <w:tabs>
          <w:tab w:val="num" w:pos="3535"/>
        </w:tabs>
        <w:ind w:left="3535" w:hanging="283"/>
      </w:pPr>
      <w:rPr>
        <w:rFonts w:ascii="Symbol" w:hAnsi="Symbol" w:cs="Symbol" w:hint="default"/>
      </w:rPr>
    </w:lvl>
    <w:lvl w:ilvl="5">
      <w:start w:val="1"/>
      <w:numFmt w:val="bullet"/>
      <w:lvlText w:val=""/>
      <w:lvlJc w:val="left"/>
      <w:pPr>
        <w:tabs>
          <w:tab w:val="num" w:pos="4242"/>
        </w:tabs>
        <w:ind w:left="4242" w:hanging="283"/>
      </w:pPr>
      <w:rPr>
        <w:rFonts w:ascii="Symbol" w:hAnsi="Symbol" w:cs="Symbol" w:hint="default"/>
      </w:rPr>
    </w:lvl>
    <w:lvl w:ilvl="6">
      <w:start w:val="1"/>
      <w:numFmt w:val="bullet"/>
      <w:lvlText w:val=""/>
      <w:lvlJc w:val="left"/>
      <w:pPr>
        <w:tabs>
          <w:tab w:val="num" w:pos="4949"/>
        </w:tabs>
        <w:ind w:left="4949" w:hanging="283"/>
      </w:pPr>
      <w:rPr>
        <w:rFonts w:ascii="Symbol" w:hAnsi="Symbol" w:cs="Symbol" w:hint="default"/>
      </w:rPr>
    </w:lvl>
    <w:lvl w:ilvl="7">
      <w:start w:val="1"/>
      <w:numFmt w:val="bullet"/>
      <w:lvlText w:val=""/>
      <w:lvlJc w:val="left"/>
      <w:pPr>
        <w:tabs>
          <w:tab w:val="num" w:pos="5656"/>
        </w:tabs>
        <w:ind w:left="5656" w:hanging="283"/>
      </w:pPr>
      <w:rPr>
        <w:rFonts w:ascii="Symbol" w:hAnsi="Symbol" w:cs="Symbol" w:hint="default"/>
      </w:rPr>
    </w:lvl>
    <w:lvl w:ilvl="8">
      <w:start w:val="1"/>
      <w:numFmt w:val="bullet"/>
      <w:lvlText w:val=""/>
      <w:lvlJc w:val="left"/>
      <w:pPr>
        <w:tabs>
          <w:tab w:val="num" w:pos="6363"/>
        </w:tabs>
        <w:ind w:left="6363" w:hanging="283"/>
      </w:pPr>
      <w:rPr>
        <w:rFonts w:ascii="Symbol" w:hAnsi="Symbol" w:cs="Symbol" w:hint="default"/>
      </w:rPr>
    </w:lvl>
  </w:abstractNum>
  <w:num w:numId="1">
    <w:abstractNumId w:val="1"/>
  </w:num>
  <w:num w:numId="2">
    <w:abstractNumId w:val="2"/>
  </w:num>
</w:numbering>
</file>

<file path=word/settings.xml><?xml version="1.0" encoding="utf-8"?>
<w:settings xmlns:w="http://schemas.openxmlformats.org/wordprocessingml/2006/main">
  <w:zoom w:percent="100"/>
  <w:defaultTabStop w:val="822"/>
  <w:autoHyphenation w:val="true"/>
  <w:compat/>
  <w:themeFontLang w:val="" w:eastAsia="" w:bidi=""/>
</w:settings>
</file>

<file path=word/styles.xml><?xml version="1.0" encoding="utf-8"?>
<w:styles xmlns:w="http://schemas.openxmlformats.org/wordprocessingml/2006/main" xmlns:w14="http://schemas.microsoft.com/office/word/2010/wordml" xmlns:mc="http://schemas.openxmlformats.org/markup-compatibility/2006" mc:Ignorable="w14">
  <w:docDefaults>
    <w:rPrDefault>
      <w:rPr>
        <w:rFonts w:ascii="Liberation Serif" w:hAnsi="Liberation Serif" w:eastAsia="Noto Serif CJK SC" w:cs="Lohit Devanagari"/>
        <w:kern w:val="2"/>
        <w:szCs w:val="24"/>
        <w:lang w:val="fr-FR" w:eastAsia="zh-CN" w:bidi="hi-IN"/>
      </w:rPr>
    </w:rPrDefault>
    <w:pPrDefault>
      <w:pPr>
        <w:suppressAutoHyphens w:val="true"/>
      </w:pPr>
    </w:pPrDefault>
  </w:docDefaults>
  <w:style w:type="paragraph" w:styleId="Normal">
    <w:name w:val="Normal"/>
    <w:qFormat/>
    <w:pPr>
      <w:widowControl/>
      <w:suppressAutoHyphens w:val="true"/>
      <w:bidi w:val="0"/>
      <w:spacing w:before="0" w:after="0"/>
      <w:jc w:val="left"/>
    </w:pPr>
    <w:rPr>
      <w:rFonts w:ascii="Liberation Serif" w:hAnsi="Liberation Serif" w:eastAsia="Noto Serif CJK SC" w:cs="Lohit Devanagari"/>
      <w:color w:val="auto"/>
      <w:kern w:val="2"/>
      <w:sz w:val="24"/>
      <w:szCs w:val="24"/>
      <w:lang w:val="fr-FR" w:eastAsia="zh-CN" w:bidi="hi-IN"/>
    </w:rPr>
  </w:style>
  <w:style w:type="paragraph" w:styleId="Titre1">
    <w:name w:val="Heading 1"/>
    <w:basedOn w:val="Titre"/>
    <w:next w:val="Corpsdetexte"/>
    <w:qFormat/>
    <w:pPr>
      <w:numPr>
        <w:ilvl w:val="0"/>
        <w:numId w:val="1"/>
      </w:numPr>
      <w:spacing w:before="240" w:after="120"/>
      <w:outlineLvl w:val="0"/>
    </w:pPr>
    <w:rPr>
      <w:rFonts w:ascii="Liberation Serif" w:hAnsi="Liberation Serif" w:eastAsia="Noto Serif CJK SC" w:cs="Lohit Devanagari"/>
      <w:b/>
      <w:bCs/>
      <w:sz w:val="48"/>
      <w:szCs w:val="48"/>
    </w:rPr>
  </w:style>
  <w:style w:type="paragraph" w:styleId="Titre2">
    <w:name w:val="Heading 2"/>
    <w:basedOn w:val="Titre"/>
    <w:next w:val="Corpsdetexte"/>
    <w:qFormat/>
    <w:pPr>
      <w:numPr>
        <w:ilvl w:val="1"/>
        <w:numId w:val="1"/>
      </w:numPr>
      <w:spacing w:before="200" w:after="120"/>
      <w:outlineLvl w:val="1"/>
    </w:pPr>
    <w:rPr>
      <w:rFonts w:ascii="Liberation Serif" w:hAnsi="Liberation Serif" w:eastAsia="Noto Serif CJK SC" w:cs="Lohit Devanagari"/>
      <w:b/>
      <w:bCs/>
      <w:sz w:val="36"/>
      <w:szCs w:val="36"/>
    </w:rPr>
  </w:style>
  <w:style w:type="paragraph" w:styleId="Titre3">
    <w:name w:val="Heading 3"/>
    <w:basedOn w:val="Titre"/>
    <w:next w:val="Corpsdetexte"/>
    <w:qFormat/>
    <w:pPr>
      <w:numPr>
        <w:ilvl w:val="2"/>
        <w:numId w:val="1"/>
      </w:numPr>
      <w:spacing w:before="140" w:after="120"/>
      <w:outlineLvl w:val="2"/>
    </w:pPr>
    <w:rPr>
      <w:rFonts w:ascii="Liberation Serif" w:hAnsi="Liberation Serif" w:eastAsia="Noto Serif CJK SC" w:cs="Lohit Devanagari"/>
      <w:b/>
      <w:bCs/>
      <w:sz w:val="28"/>
      <w:szCs w:val="28"/>
    </w:rPr>
  </w:style>
  <w:style w:type="character" w:styleId="LienInternet">
    <w:name w:val="Lien Internet"/>
    <w:rPr>
      <w:color w:val="000080"/>
      <w:u w:val="single"/>
      <w:lang w:val="zxx" w:eastAsia="zxx" w:bidi="zxx"/>
    </w:rPr>
  </w:style>
  <w:style w:type="character" w:styleId="Puces">
    <w:name w:val="Puces"/>
    <w:qFormat/>
    <w:rPr>
      <w:rFonts w:ascii="OpenSymbol" w:hAnsi="OpenSymbol" w:eastAsia="OpenSymbol" w:cs="OpenSymbol"/>
    </w:rPr>
  </w:style>
  <w:style w:type="character" w:styleId="Accentuation">
    <w:name w:val="Accentuation"/>
    <w:qFormat/>
    <w:rPr>
      <w:i/>
      <w:iCs/>
    </w:rPr>
  </w:style>
  <w:style w:type="paragraph" w:styleId="Titre">
    <w:name w:val="Titre"/>
    <w:basedOn w:val="Normal"/>
    <w:next w:val="Corpsdetexte"/>
    <w:qFormat/>
    <w:pPr>
      <w:keepNext w:val="true"/>
      <w:spacing w:before="240" w:after="120"/>
    </w:pPr>
    <w:rPr>
      <w:rFonts w:ascii="Liberation Sans" w:hAnsi="Liberation Sans" w:eastAsia="Noto Sans CJK SC" w:cs="Lohit Devanagari"/>
      <w:sz w:val="28"/>
      <w:szCs w:val="28"/>
    </w:rPr>
  </w:style>
  <w:style w:type="paragraph" w:styleId="Corpsdetexte">
    <w:name w:val="Body Text"/>
    <w:basedOn w:val="Normal"/>
    <w:pPr>
      <w:spacing w:lineRule="auto" w:line="276" w:before="0" w:after="140"/>
    </w:pPr>
    <w:rPr/>
  </w:style>
  <w:style w:type="paragraph" w:styleId="Liste">
    <w:name w:val="List"/>
    <w:basedOn w:val="Corpsdetexte"/>
    <w:pPr/>
    <w:rPr>
      <w:rFonts w:cs="Lohit Devanagari"/>
    </w:rPr>
  </w:style>
  <w:style w:type="paragraph" w:styleId="Lgende">
    <w:name w:val="Caption"/>
    <w:basedOn w:val="Normal"/>
    <w:qFormat/>
    <w:pPr>
      <w:suppressLineNumbers/>
      <w:spacing w:before="120" w:after="120"/>
    </w:pPr>
    <w:rPr>
      <w:rFonts w:cs="Lohit Devanagari"/>
      <w:i/>
      <w:iCs/>
      <w:sz w:val="24"/>
      <w:szCs w:val="24"/>
    </w:rPr>
  </w:style>
  <w:style w:type="paragraph" w:styleId="Index">
    <w:name w:val="Index"/>
    <w:basedOn w:val="Normal"/>
    <w:qFormat/>
    <w:pPr>
      <w:suppressLineNumbers/>
    </w:pPr>
    <w:rPr>
      <w:rFonts w:cs="Lohit Devanagari"/>
    </w:rPr>
  </w:style>
  <w:style w:type="paragraph" w:styleId="Citations">
    <w:name w:val="Citations"/>
    <w:basedOn w:val="Normal"/>
    <w:qFormat/>
    <w:pPr>
      <w:spacing w:before="0" w:after="283"/>
      <w:ind w:left="567" w:right="567" w:hanging="0"/>
    </w:pPr>
    <w:rPr/>
  </w:style>
</w:styles>
</file>

<file path=word/_rels/document.xml.rels><?xml version="1.0" encoding="UTF-8"?>
<Relationships xmlns="http://schemas.openxmlformats.org/package/2006/relationships"><Relationship Id="rId1" Type="http://schemas.openxmlformats.org/officeDocument/2006/relationships/styles" Target="styles.xml"/><Relationship Id="rId2" Type="http://schemas.openxmlformats.org/officeDocument/2006/relationships/image" Target="media/image1.png"/><Relationship Id="rId3" Type="http://schemas.openxmlformats.org/officeDocument/2006/relationships/image" Target="media/image2.png"/><Relationship Id="rId4" Type="http://schemas.openxmlformats.org/officeDocument/2006/relationships/hyperlink" Target="https://www.alternatives-economiques.fr/users/cecile-duflot" TargetMode="External"/><Relationship Id="rId5" Type="http://schemas.openxmlformats.org/officeDocument/2006/relationships/image" Target="media/image3.jpeg"/><Relationship Id="rId6" Type="http://schemas.openxmlformats.org/officeDocument/2006/relationships/hyperlink" Target="https://www.alternatives-economiques.fr/ecopo91" TargetMode="External"/><Relationship Id="rId7" Type="http://schemas.openxmlformats.org/officeDocument/2006/relationships/hyperlink" Target="https://www.alternatives-economiques.fr/ecopo91" TargetMode="External"/><Relationship Id="rId8" Type="http://schemas.openxmlformats.org/officeDocument/2006/relationships/hyperlink" Target="https://www.facebook.com/share.php?u=https://www.alternatives-economiques.fr/ecopo91&amp;title=Tourisme&#160;%3A+repartir+comme+avant&#160;%3F" TargetMode="External"/><Relationship Id="rId9" Type="http://schemas.openxmlformats.org/officeDocument/2006/relationships/hyperlink" Target="http://www.twitter.com/intent/tweet?url=https://www.alternatives-economiques.fr/ecopo91&amp;via=AlterEco_&amp;text=Tourisme&#160;%3A+repartir+comme+avant&#160;%3F" TargetMode="External"/><Relationship Id="rId10" Type="http://schemas.openxmlformats.org/officeDocument/2006/relationships/hyperlink" Target="https://www.alternatives-economiques.fr//cecile-duflot/big-pharma-nont-interet-a-gagner-course-contre-variants/00099905?utm_source=emailing&amp;utm_medium=email&amp;utm_campaign=NL_Quotidienne_abo&amp;utm_content=04082021" TargetMode="External"/><Relationship Id="rId11" Type="http://schemas.openxmlformats.org/officeDocument/2006/relationships/hyperlink" Target="https://www.alternatives-economiques.fr//cecile-duflot/big-pharma-nont-interet-a-gagner-course-contre-variants/00099905?utm_source=emailing&amp;utm_medium=email&amp;utm_campaign=NL_Quotidienne_abo&amp;utm_content=04082021" TargetMode="External"/><Relationship Id="rId12" Type="http://schemas.openxmlformats.org/officeDocument/2006/relationships/hyperlink" Target="https://www.alternatives-economiques.fr//cecile-duflot/big-pharma-nont-interet-a-gagner-course-contre-variants/00099905?utm_source=emailing&amp;utm_medium=email&amp;utm_campaign=NL_Quotidienne_abo&amp;utm_content=04082021" TargetMode="External"/><Relationship Id="rId13" Type="http://schemas.openxmlformats.org/officeDocument/2006/relationships/hyperlink" Target="https://www.alternatives-economiques.fr//cecile-duflot/big-pharma-nont-interet-a-gagner-course-contre-variants/00099905?utm_source=emailing&amp;utm_medium=email&amp;utm_campaign=NL_Quotidienne_abo&amp;utm_content=04082021" TargetMode="External"/><Relationship Id="rId14" Type="http://schemas.openxmlformats.org/officeDocument/2006/relationships/hyperlink" Target="https://www.alternatives-economiques.fr/vaccins-modele-hyperfinanciarise-de-recherche/00094649" TargetMode="External"/><Relationship Id="rId15" Type="http://schemas.openxmlformats.org/officeDocument/2006/relationships/hyperlink" Target="https://www.alternatives-economiques.fr//cecile-duflot/big-pharma-nont-interet-a-gagner-course-contre-variants/00099905?utm_source=emailing&amp;utm_medium=email&amp;utm_campaign=NL_Quotidienne_abo&amp;utm_content=04082021" TargetMode="External"/><Relationship Id="rId16" Type="http://schemas.openxmlformats.org/officeDocument/2006/relationships/numbering" Target="numbering.xml"/><Relationship Id="rId17" Type="http://schemas.openxmlformats.org/officeDocument/2006/relationships/fontTable" Target="fontTable.xml"/><Relationship Id="rId18" Type="http://schemas.openxmlformats.org/officeDocument/2006/relationships/settings" Target="settings.xml"/>
</Relationships>
</file>

<file path=docProps/app.xml><?xml version="1.0" encoding="utf-8"?>
<Properties xmlns="http://schemas.openxmlformats.org/officeDocument/2006/extended-properties" xmlns:vt="http://schemas.openxmlformats.org/officeDocument/2006/docPropsVTypes">
  <Template/>
  <TotalTime>1</TotalTime>
  <Application>LibreOffice/6.4.7.2$Linux_X86_64 LibreOffice_project/40$Build-2</Application>
  <Pages>4</Pages>
  <Words>937</Words>
  <Characters>5049</Characters>
  <CharactersWithSpaces>5971</CharactersWithSpaces>
  <Paragraphs>31</Paragraphs>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2021-08-04T20:03:13Z</dcterms:created>
  <dc:creator/>
  <dc:description/>
  <dc:language>fr-FR</dc:language>
  <cp:lastModifiedBy/>
  <dcterms:modified xsi:type="dcterms:W3CDTF">2021-08-04T20:17:23Z</dcterms:modified>
  <cp:revision>2</cp:revision>
  <dc:subject/>
  <dc:title/>
</cp:coreProperties>
</file>